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R4-2305410</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system parameter for NCR-MT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During the last RAN4 meeting, there were some initial discussions on NCR-MT system parameter and reached the following consensus, however there are still some open issues left for further discussion. In this contribution, we want to share some further views on those remaining issues.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0"/>
                <w:numId w:val="2"/>
              </w:numPr>
              <w:spacing w:line="259" w:lineRule="auto"/>
              <w:ind w:left="720"/>
              <w:jc w:val="left"/>
            </w:pPr>
            <w:r>
              <w:t>Agreement:</w:t>
            </w:r>
          </w:p>
          <w:p>
            <w:pPr>
              <w:pStyle w:val="33"/>
              <w:numPr>
                <w:ilvl w:val="1"/>
                <w:numId w:val="2"/>
              </w:numPr>
              <w:spacing w:line="259" w:lineRule="auto"/>
              <w:ind w:left="1440"/>
              <w:jc w:val="left"/>
              <w:rPr>
                <w:highlight w:val="green"/>
              </w:rPr>
            </w:pPr>
            <w:r>
              <w:rPr>
                <w:highlight w:val="green"/>
              </w:rPr>
              <w:t xml:space="preserve">The system parameters related to UE channel bandwidth (i.e., maximum transmission bandwidth configuration, Minimum guard band and transmission bandwidth configuration, UE channel bandwidth per operating band) need to be specified for NCR-MT transmission and reception </w:t>
            </w:r>
          </w:p>
          <w:p>
            <w:pPr>
              <w:pStyle w:val="33"/>
              <w:numPr>
                <w:ilvl w:val="1"/>
                <w:numId w:val="2"/>
              </w:numPr>
              <w:spacing w:line="259" w:lineRule="auto"/>
              <w:ind w:left="1440"/>
              <w:jc w:val="left"/>
              <w:rPr>
                <w:rFonts w:hint="eastAsia"/>
                <w:sz w:val="20"/>
                <w:highlight w:val="none"/>
                <w:vertAlign w:val="baseline"/>
                <w:lang w:val="en-US" w:eastAsia="zh-CN"/>
              </w:rPr>
            </w:pPr>
            <w:r>
              <w:rPr>
                <w:highlight w:val="green"/>
              </w:rPr>
              <w:t>Further discuss whether reusing the system parameter based on BS specification or UE specification;</w:t>
            </w: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20"/>
      <w:bookmarkStart w:id="3" w:name="OLE_LINK14"/>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2.1. System parameter for NCR-MT</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In last RAN4 meeting, it was agreed to specify </w:t>
      </w:r>
      <w:r>
        <w:rPr>
          <w:rFonts w:hint="eastAsia"/>
          <w:highlight w:val="none"/>
          <w:lang w:val="en-US" w:eastAsia="zh-CN"/>
        </w:rPr>
        <w:t>t</w:t>
      </w:r>
      <w:r>
        <w:rPr>
          <w:highlight w:val="none"/>
        </w:rPr>
        <w:t>he system parameters related to UE channel bandwidth (i.e., maximum transmission bandwidth configuration, Minimum guard band and transmission bandwidth configuration, UE channel bandwidth per operating band) for NCR-MT transmission and receptio</w:t>
      </w:r>
      <w:r>
        <w:rPr>
          <w:rFonts w:hint="eastAsia"/>
          <w:highlight w:val="none"/>
          <w:lang w:val="en-US" w:eastAsia="zh-CN"/>
        </w:rPr>
        <w:t>n, however it</w:t>
      </w:r>
      <w:r>
        <w:rPr>
          <w:rFonts w:hint="default"/>
          <w:highlight w:val="none"/>
          <w:lang w:val="en-US" w:eastAsia="zh-CN"/>
        </w:rPr>
        <w:t>’</w:t>
      </w:r>
      <w:r>
        <w:rPr>
          <w:rFonts w:hint="eastAsia"/>
          <w:highlight w:val="none"/>
          <w:lang w:val="en-US" w:eastAsia="zh-CN"/>
        </w:rPr>
        <w:t xml:space="preserve">s still not clear whether UE specification or BS specification should be reused for NCR-MT.  </w:t>
      </w:r>
      <w:r>
        <w:rPr>
          <w:highlight w:val="none"/>
        </w:rPr>
        <w:t xml:space="preserve"> </w:t>
      </w:r>
      <w:r>
        <w:rPr>
          <w:rFonts w:hint="eastAsia"/>
          <w:sz w:val="20"/>
          <w:highlight w:val="none"/>
          <w:lang w:val="en-US" w:eastAsia="zh-CN"/>
        </w:rPr>
        <w:t xml:space="preserve">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From our understanding, since NCR-MT should work similar as UE device, therefore the system parameter defined per band approach in existing spec TS38.101-1 and TS38.101-2 could be reused for NCR-MT. In addition, it should be known that there are still some difference between BS and UE specification e.g. the supported channel bandwidth per band in BS specification should be super set of that in UE specification. There are more NARFCN values in BS specification than UE specification e.g. band n28 etc.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reuse the system parameter (BW, SCS, channel raster and sync raster) defined per band defined in existing spec TS38.101-1 and TS38.101-2.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sz w:val="20"/>
          <w:highlight w:val="none"/>
          <w:lang w:val="en-US" w:eastAsia="zh-CN"/>
        </w:rPr>
        <w:t>In addition, similar as discussion on the supported channel bandwidth per band for IAB-MT in Rel-16 [please see the following approved LS to RAN2 for IAB-MT supported channel bandwidth], the channel bandwidth per operating band should be optional for NCR-MT device since NCR-MT is not supposed to move across regions s and don</w:t>
      </w:r>
      <w:r>
        <w:rPr>
          <w:rFonts w:hint="default"/>
          <w:sz w:val="20"/>
          <w:highlight w:val="none"/>
          <w:lang w:val="en-US" w:eastAsia="zh-CN"/>
        </w:rPr>
        <w:t>’</w:t>
      </w:r>
      <w:r>
        <w:rPr>
          <w:rFonts w:hint="eastAsia"/>
          <w:sz w:val="20"/>
          <w:highlight w:val="none"/>
          <w:lang w:val="en-US" w:eastAsia="zh-CN"/>
        </w:rPr>
        <w:t xml:space="preserve">t need to support the network roam which is similar as Rel-16 IAB-MT. This situation is somehow different from the normal handheld UE. For the handheld UE, the maximum channel bandwidth defined per band is mandatory to be supported for the normal UE and other channel bandwidth than maximum one per band is supported by IoT bits from UE capability report.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default" w:eastAsia="宋体"/>
                <w:b/>
                <w:bCs/>
                <w:lang w:val="en-US" w:eastAsia="zh-CN"/>
              </w:rPr>
            </w:pPr>
            <w:r>
              <w:rPr>
                <w:rFonts w:hint="eastAsia" w:ascii="Times New Roman" w:hAnsi="Times New Roman"/>
                <w:b/>
                <w:bCs/>
                <w:kern w:val="2"/>
                <w:sz w:val="21"/>
                <w:szCs w:val="24"/>
                <w:highlight w:val="none"/>
                <w:lang w:val="en-US" w:eastAsia="zh-CN" w:bidi="ar-SA"/>
              </w:rPr>
              <w:t>R4-1916165</w:t>
            </w:r>
            <w:r>
              <w:rPr>
                <w:rFonts w:hint="eastAsia"/>
                <w:b/>
                <w:bCs/>
                <w:kern w:val="2"/>
                <w:sz w:val="21"/>
                <w:szCs w:val="24"/>
                <w:highlight w:val="none"/>
                <w:lang w:val="en-US" w:eastAsia="zh-CN" w:bidi="ar-SA"/>
              </w:rPr>
              <w:t>:</w:t>
            </w:r>
          </w:p>
          <w:p>
            <w:pPr>
              <w:rPr>
                <w:bCs/>
              </w:rPr>
            </w:pPr>
            <w:r>
              <w:rPr>
                <w:bCs/>
              </w:rPr>
              <w:t>RAN4 has discussed definition of IAB-MT channel bandwidth and would like to inform RAN2 of their agreement.</w:t>
            </w:r>
          </w:p>
          <w:p>
            <w:pPr>
              <w:rPr>
                <w:bCs/>
              </w:rPr>
            </w:pPr>
            <w:r>
              <w:rPr>
                <w:bCs/>
              </w:rPr>
              <w:t xml:space="preserve">RAN4 decided that IAB-MT declares all the supported channel bandwidths rather than having a mandatory set as current UEs. The parent/donor should be aware of the channel bandwidths supported by the MT. </w:t>
            </w:r>
          </w:p>
          <w:p>
            <w:pPr>
              <w:rPr>
                <w:rFonts w:hint="eastAsia" w:eastAsia="Yu Mincho"/>
                <w:bCs/>
                <w:vertAlign w:val="baseline"/>
                <w:lang w:val="en-US" w:eastAsia="zh-CN"/>
              </w:rPr>
            </w:pPr>
            <w:r>
              <w:rPr>
                <w:rFonts w:hint="eastAsia" w:eastAsia="Yu Mincho"/>
                <w:bCs/>
                <w:lang w:eastAsia="ja-JP"/>
              </w:rPr>
              <w:t>R</w:t>
            </w:r>
            <w:r>
              <w:rPr>
                <w:rFonts w:eastAsia="Yu Mincho"/>
                <w:bCs/>
                <w:lang w:eastAsia="ja-JP"/>
              </w:rPr>
              <w:t xml:space="preserve">AN2 needs to evaluate the signalling needed due to this newly introduced behaviour. </w:t>
            </w:r>
          </w:p>
        </w:tc>
      </w:tr>
    </w:tbl>
    <w:p>
      <w:pPr>
        <w:rPr>
          <w:rFonts w:hint="eastAsia" w:eastAsia="Yu Mincho"/>
          <w:bCs/>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s="Times New Roman"/>
          <w:i w:val="0"/>
          <w:iCs/>
          <w:kern w:val="2"/>
          <w:sz w:val="20"/>
          <w:szCs w:val="22"/>
          <w:highlight w:val="none"/>
          <w:lang w:val="en-US" w:eastAsia="zh-CN" w:bidi="ar-SA"/>
        </w:rPr>
      </w:pPr>
      <w:r>
        <w:rPr>
          <w:rFonts w:hint="eastAsia"/>
          <w:b/>
          <w:bCs/>
          <w:sz w:val="20"/>
          <w:highlight w:val="none"/>
          <w:lang w:val="en-US" w:eastAsia="zh-CN"/>
        </w:rPr>
        <w:t>Proposal 2:</w:t>
      </w:r>
      <w:r>
        <w:rPr>
          <w:rFonts w:hint="eastAsia"/>
          <w:sz w:val="20"/>
          <w:highlight w:val="none"/>
          <w:lang w:val="en-US" w:eastAsia="zh-CN"/>
        </w:rPr>
        <w:t xml:space="preserve"> to set the channel bandwidth per operating band to be optional for NCR-MT and send the LS to RAN2. </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w:t>
      </w:r>
      <w:r>
        <w:rPr>
          <w:rFonts w:hint="eastAsia"/>
          <w:sz w:val="20"/>
          <w:highlight w:val="none"/>
          <w:lang w:val="en-US" w:eastAsia="zh-CN"/>
        </w:rPr>
        <w:t xml:space="preserve"> views on NCR from both RF architecture and RF requirement perspective </w:t>
      </w:r>
      <w:r>
        <w:rPr>
          <w:rFonts w:hint="eastAsia"/>
          <w:highlight w:val="none"/>
          <w:lang w:val="en-US" w:eastAsia="zh-CN"/>
        </w:rPr>
        <w:t>and observations and proposals are made as following:</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reuse the system parameter (BW, SCS, channel raster and sync raster) defined per band defined in existing spec TS38.101-1 and TS38.101-2.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to set the channel bandwidth per operating band to be optional for NCR-MT and send the LS to RAN2.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3"/>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3"/>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r>
        <w:rPr>
          <w:rFonts w:hint="eastAsia" w:cs="Times New Roman"/>
          <w:b w:val="0"/>
          <w:sz w:val="20"/>
          <w:szCs w:val="20"/>
          <w:highlight w:val="none"/>
          <w:lang w:val="en-US" w:eastAsia="zh-CN"/>
        </w:rPr>
        <w:t>.</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R4-2302903</w:t>
      </w:r>
      <w:r>
        <w:rPr>
          <w:rFonts w:hint="eastAsia" w:cs="Times New Roman"/>
          <w:b w:val="0"/>
          <w:sz w:val="20"/>
          <w:szCs w:val="20"/>
          <w:highlight w:val="none"/>
          <w:lang w:val="en-US" w:eastAsia="zh-CN"/>
        </w:rPr>
        <w:t xml:space="preserve">, </w:t>
      </w:r>
      <w:r>
        <w:rPr>
          <w:rFonts w:hint="eastAsia" w:ascii="Times New Roman" w:hAnsi="Times New Roman" w:eastAsia="宋体" w:cs="Times New Roman"/>
          <w:b w:val="0"/>
          <w:sz w:val="20"/>
          <w:szCs w:val="20"/>
          <w:highlight w:val="none"/>
          <w:lang w:val="en-US" w:eastAsia="zh-CN"/>
        </w:rPr>
        <w:t>WF for system parameters and NCR requirements</w:t>
      </w:r>
      <w:r>
        <w:rPr>
          <w:rFonts w:hint="eastAsia" w:cs="Times New Roman"/>
          <w:b w:val="0"/>
          <w:sz w:val="20"/>
          <w:szCs w:val="20"/>
          <w:highlight w:val="none"/>
          <w:lang w:val="en-US" w:eastAsia="zh-CN"/>
        </w:rPr>
        <w:t>, Approved.</w:t>
      </w:r>
    </w:p>
    <w:p>
      <w:pPr>
        <w:numPr>
          <w:ilvl w:val="0"/>
          <w:numId w:val="4"/>
        </w:numPr>
        <w:rPr>
          <w:rFonts w:hint="eastAsia" w:ascii="Times New Roman" w:hAnsi="Times New Roman"/>
          <w:szCs w:val="24"/>
          <w:highlight w:val="none"/>
        </w:rPr>
      </w:pPr>
      <w:r>
        <w:rPr>
          <w:rFonts w:hint="eastAsia" w:ascii="Times New Roman" w:hAnsi="Times New Roman"/>
          <w:kern w:val="2"/>
          <w:sz w:val="21"/>
          <w:szCs w:val="24"/>
          <w:highlight w:val="none"/>
          <w:lang w:val="en-US" w:eastAsia="zh-CN" w:bidi="ar-SA"/>
        </w:rPr>
        <w:t>R4-1916165,LS to RAN2 on definition of IAB MT channel bandwidth, Qualcomm, approved</w:t>
      </w: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92"/>
        <w:keepNext/>
        <w:keepLines/>
        <w:pageBreakBefore w:val="0"/>
        <w:widowControl/>
        <w:tabs>
          <w:tab w:val="right" w:pos="9639"/>
        </w:tabs>
        <w:kinsoku/>
        <w:topLinePunct w:val="0"/>
        <w:bidi w:val="0"/>
        <w:snapToGrid/>
        <w:spacing w:after="0"/>
        <w:outlineLvl w:val="0"/>
        <w:rPr>
          <w:rFonts w:hint="default" w:eastAsia="宋体"/>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106</w:t>
      </w:r>
      <w:r>
        <w:rPr>
          <w:b/>
          <w:sz w:val="24"/>
        </w:rPr>
        <w:fldChar w:fldCharType="end"/>
      </w:r>
      <w:r>
        <w:rPr>
          <w:rFonts w:hint="eastAsia" w:eastAsia="宋体"/>
          <w:b/>
          <w:sz w:val="24"/>
          <w:lang w:val="en-US" w:eastAsia="zh-CN"/>
        </w:rPr>
        <w:t>bis</w:t>
      </w:r>
      <w:r>
        <w:rPr>
          <w:b/>
          <w:i/>
          <w:sz w:val="28"/>
        </w:rPr>
        <w:tab/>
      </w:r>
      <w:r>
        <w:rPr>
          <w:b/>
          <w:i w:val="0"/>
          <w:iCs/>
          <w:sz w:val="28"/>
        </w:rPr>
        <w:fldChar w:fldCharType="begin"/>
      </w:r>
      <w:r>
        <w:rPr>
          <w:b/>
          <w:i w:val="0"/>
          <w:iCs/>
          <w:sz w:val="28"/>
        </w:rPr>
        <w:instrText xml:space="preserve"> DOCPROPERTY  Tdoc#  \* MERGEFORMAT </w:instrText>
      </w:r>
      <w:r>
        <w:rPr>
          <w:b/>
          <w:i w:val="0"/>
          <w:iCs/>
          <w:sz w:val="28"/>
        </w:rPr>
        <w:fldChar w:fldCharType="separate"/>
      </w:r>
      <w:r>
        <w:rPr>
          <w:b/>
          <w:i w:val="0"/>
          <w:iCs/>
          <w:sz w:val="28"/>
        </w:rPr>
        <w:t>R4-23</w:t>
      </w:r>
      <w:r>
        <w:rPr>
          <w:rFonts w:hint="eastAsia" w:eastAsia="宋体"/>
          <w:b/>
          <w:i w:val="0"/>
          <w:iCs/>
          <w:sz w:val="28"/>
          <w:lang w:val="en-US" w:eastAsia="zh-CN"/>
        </w:rPr>
        <w:t>0x</w:t>
      </w:r>
      <w:r>
        <w:rPr>
          <w:b/>
          <w:i w:val="0"/>
          <w:iCs/>
          <w:sz w:val="28"/>
        </w:rPr>
        <w:fldChar w:fldCharType="end"/>
      </w:r>
      <w:r>
        <w:rPr>
          <w:rFonts w:hint="eastAsia" w:eastAsia="宋体"/>
          <w:b/>
          <w:i w:val="0"/>
          <w:iCs/>
          <w:sz w:val="28"/>
          <w:lang w:val="en-US" w:eastAsia="zh-CN"/>
        </w:rPr>
        <w:t>xxx</w:t>
      </w:r>
    </w:p>
    <w:p>
      <w:pPr>
        <w:pStyle w:val="92"/>
        <w:keepNext/>
        <w:keepLines/>
        <w:pageBreakBefore w:val="0"/>
        <w:widowControl/>
        <w:kinsoku/>
        <w:topLinePunct w:val="0"/>
        <w:bidi w:val="0"/>
        <w:snapToGrid/>
        <w:outlineLvl w:val="0"/>
        <w:rPr>
          <w:b/>
          <w:sz w:val="24"/>
        </w:rPr>
      </w:pPr>
      <w:r>
        <w:rPr>
          <w:rFonts w:hint="eastAsia" w:eastAsia="宋体"/>
          <w:b/>
          <w:sz w:val="24"/>
          <w:lang w:val="en-US" w:eastAsia="zh-CN"/>
        </w:rPr>
        <w:t>E-meeting</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April</w:t>
      </w:r>
      <w:r>
        <w:rPr>
          <w:b/>
          <w:sz w:val="24"/>
        </w:rPr>
        <w:t xml:space="preserve"> </w:t>
      </w:r>
      <w:r>
        <w:rPr>
          <w:rFonts w:hint="eastAsia" w:eastAsia="宋体"/>
          <w:b/>
          <w:sz w:val="24"/>
          <w:lang w:val="en-US" w:eastAsia="zh-CN"/>
        </w:rPr>
        <w:t>1</w:t>
      </w:r>
      <w:r>
        <w:rPr>
          <w:b/>
          <w:sz w:val="24"/>
        </w:rPr>
        <w:t>7</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eastAsia="宋体"/>
          <w:b/>
          <w:sz w:val="24"/>
          <w:lang w:val="en-US" w:eastAsia="zh-CN"/>
        </w:rPr>
        <w:t>April</w:t>
      </w:r>
      <w:r>
        <w:rPr>
          <w:b/>
          <w:sz w:val="24"/>
        </w:rPr>
        <w:t xml:space="preserve"> </w:t>
      </w:r>
      <w:r>
        <w:rPr>
          <w:rFonts w:hint="eastAsia" w:eastAsia="宋体"/>
          <w:b/>
          <w:sz w:val="24"/>
          <w:lang w:val="en-US" w:eastAsia="zh-CN"/>
        </w:rPr>
        <w:t>26</w:t>
      </w:r>
      <w:r>
        <w:rPr>
          <w:b/>
          <w:sz w:val="24"/>
        </w:rPr>
        <w:t>, 2023</w:t>
      </w:r>
      <w:r>
        <w:rPr>
          <w:b/>
          <w:sz w:val="24"/>
        </w:rPr>
        <w:fldChar w:fldCharType="end"/>
      </w: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keepNext/>
        <w:keepLines/>
        <w:pageBreakBefore w:val="0"/>
        <w:widowControl/>
        <w:kinsoku/>
        <w:topLinePunct w:val="0"/>
        <w:bidi w:val="0"/>
        <w:snapToGrid/>
        <w:spacing w:after="60"/>
        <w:ind w:left="1985" w:hanging="1985"/>
        <w:rPr>
          <w:rFonts w:ascii="Arial" w:hAnsi="Arial" w:cs="Arial"/>
          <w:bCs/>
          <w:color w:val="000000"/>
        </w:rPr>
      </w:pPr>
      <w:r>
        <w:rPr>
          <w:rFonts w:ascii="Arial" w:hAnsi="Arial" w:cs="Arial"/>
          <w:b/>
        </w:rPr>
        <w:t>Title:</w:t>
      </w:r>
      <w:r>
        <w:rPr>
          <w:rFonts w:ascii="Arial" w:hAnsi="Arial" w:cs="Arial"/>
          <w:b/>
        </w:rPr>
        <w:tab/>
      </w:r>
      <w:r>
        <w:rPr>
          <w:rFonts w:ascii="Arial" w:hAnsi="Arial" w:cs="Arial"/>
          <w:sz w:val="22"/>
        </w:rPr>
        <w:t xml:space="preserve">LS on definition of </w:t>
      </w:r>
      <w:r>
        <w:rPr>
          <w:rFonts w:hint="eastAsia" w:ascii="Arial" w:hAnsi="Arial" w:cs="Arial"/>
          <w:sz w:val="22"/>
          <w:lang w:val="en-US" w:eastAsia="zh-CN"/>
        </w:rPr>
        <w:t>NCR</w:t>
      </w:r>
      <w:r>
        <w:rPr>
          <w:rFonts w:ascii="Arial" w:hAnsi="Arial" w:cs="Arial"/>
          <w:sz w:val="22"/>
        </w:rPr>
        <w:t>-MT channel bandwidth</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Response to:</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eastAsia="zh-CN"/>
        </w:rPr>
        <w:t>1</w:t>
      </w:r>
      <w:r>
        <w:rPr>
          <w:rFonts w:hint="eastAsia" w:ascii="Arial" w:hAnsi="Arial" w:cs="Arial"/>
          <w:bCs/>
          <w:lang w:val="en-US" w:eastAsia="zh-CN"/>
        </w:rPr>
        <w:t>8</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NR_netcon_repeater</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TSG RAN WG2</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Cc:</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Cs/>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Contact Person:</w:t>
      </w:r>
    </w:p>
    <w:p>
      <w:pPr>
        <w:keepNext/>
        <w:keepLines/>
        <w:pageBreakBefore w:val="0"/>
        <w:widowControl/>
        <w:kinsoku/>
        <w:topLinePunct w:val="0"/>
        <w:bidi w:val="0"/>
        <w:snapToGrid/>
        <w:ind w:left="420" w:leftChars="200"/>
        <w:rPr>
          <w:rFonts w:hint="default" w:ascii="Arial" w:hAnsi="Arial" w:eastAsia="宋体" w:cs="Arial"/>
          <w:bCs/>
          <w:lang w:val="en-US" w:eastAsia="zh-CN"/>
        </w:rPr>
      </w:pPr>
      <w:r>
        <w:rPr>
          <w:rFonts w:ascii="Arial" w:hAnsi="Arial" w:cs="Arial"/>
          <w:bCs/>
        </w:rPr>
        <w:t xml:space="preserve">Name:  </w:t>
      </w:r>
      <w:r>
        <w:rPr>
          <w:rFonts w:hint="eastAsia" w:ascii="Arial" w:hAnsi="Arial" w:cs="Arial"/>
          <w:bCs/>
          <w:lang w:val="en-US" w:eastAsia="zh-CN"/>
        </w:rPr>
        <w:t>Fei</w:t>
      </w:r>
      <w:r>
        <w:rPr>
          <w:rFonts w:hint="eastAsia" w:ascii="Arial" w:hAnsi="Arial" w:eastAsia="宋体" w:cs="Arial"/>
          <w:bCs/>
          <w:lang w:val="en-US" w:eastAsia="zh-CN"/>
        </w:rPr>
        <w:t xml:space="preserve">, </w:t>
      </w:r>
      <w:r>
        <w:rPr>
          <w:rFonts w:hint="eastAsia" w:ascii="Arial" w:hAnsi="Arial" w:cs="Arial"/>
          <w:bCs/>
          <w:lang w:val="en-US" w:eastAsia="zh-CN"/>
        </w:rPr>
        <w:t>Xue</w:t>
      </w:r>
    </w:p>
    <w:p>
      <w:pPr>
        <w:keepNext/>
        <w:keepLines/>
        <w:pageBreakBefore w:val="0"/>
        <w:widowControl/>
        <w:kinsoku/>
        <w:topLinePunct w:val="0"/>
        <w:bidi w:val="0"/>
        <w:snapToGrid/>
        <w:ind w:left="420" w:leftChars="200"/>
        <w:rPr>
          <w:rFonts w:ascii="Arial" w:hAnsi="Arial" w:cs="Arial"/>
          <w:bCs/>
        </w:rPr>
      </w:pPr>
      <w:r>
        <w:rPr>
          <w:rFonts w:ascii="Arial" w:hAnsi="Arial" w:cs="Arial"/>
          <w:bCs/>
        </w:rPr>
        <w:t xml:space="preserve">E-mail Address:  </w:t>
      </w:r>
      <w:r>
        <w:rPr>
          <w:rFonts w:hint="eastAsia" w:ascii="Arial" w:hAnsi="Arial" w:cs="Arial"/>
          <w:bCs/>
          <w:lang w:val="en-US" w:eastAsia="zh-CN"/>
        </w:rPr>
        <w:t>xue</w:t>
      </w:r>
      <w:r>
        <w:rPr>
          <w:rFonts w:hint="eastAsia" w:ascii="Arial" w:hAnsi="Arial" w:eastAsia="宋体" w:cs="Arial"/>
          <w:bCs/>
          <w:lang w:val="en-US" w:eastAsia="zh-CN"/>
        </w:rPr>
        <w:t>.</w:t>
      </w:r>
      <w:r>
        <w:rPr>
          <w:rFonts w:hint="eastAsia" w:ascii="Arial" w:hAnsi="Arial" w:cs="Arial"/>
          <w:bCs/>
          <w:lang w:val="en-US" w:eastAsia="zh-CN"/>
        </w:rPr>
        <w:t>fei25</w:t>
      </w:r>
      <w:r>
        <w:rPr>
          <w:rFonts w:hint="eastAsia" w:ascii="Arial" w:hAnsi="Arial" w:eastAsia="宋体" w:cs="Arial"/>
          <w:bCs/>
          <w:lang w:val="en-US" w:eastAsia="zh-CN"/>
        </w:rPr>
        <w:t>@zte.com.cn</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8"/>
          <w:rFonts w:ascii="Arial" w:hAnsi="Arial" w:cs="Arial"/>
          <w:b/>
        </w:rPr>
        <w:t>mailto:3GPPLiaison@etsi.org</w:t>
      </w:r>
      <w:r>
        <w:rPr>
          <w:rStyle w:val="28"/>
          <w:rFonts w:ascii="Arial" w:hAnsi="Arial" w:cs="Arial"/>
          <w:b/>
        </w:rPr>
        <w:fldChar w:fldCharType="end"/>
      </w:r>
      <w:r>
        <w:rPr>
          <w:rFonts w:ascii="Arial" w:hAnsi="Arial" w:cs="Arial"/>
          <w:b/>
        </w:rPr>
        <w:t xml:space="preserve"> </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
        </w:rPr>
      </w:pPr>
      <w:r>
        <w:rPr>
          <w:rFonts w:ascii="Arial" w:hAnsi="Arial" w:cs="Arial"/>
          <w:b/>
        </w:rPr>
        <w:t>Attachments:</w:t>
      </w:r>
      <w:r>
        <w:rPr>
          <w:rFonts w:ascii="Arial" w:hAnsi="Arial" w:cs="Arial"/>
          <w:b/>
        </w:rPr>
        <w:tab/>
      </w:r>
      <w:r>
        <w:rPr>
          <w:rFonts w:ascii="Arial" w:hAnsi="Arial" w:cs="Arial"/>
        </w:rPr>
        <w:t>None</w:t>
      </w:r>
    </w:p>
    <w:p>
      <w:pPr>
        <w:keepNext/>
        <w:keepLines/>
        <w:pageBreakBefore w:val="0"/>
        <w:widowControl/>
        <w:pBdr>
          <w:bottom w:val="single" w:color="auto" w:sz="4" w:space="1"/>
        </w:pBdr>
        <w:kinsoku/>
        <w:topLinePunct w:val="0"/>
        <w:bidi w:val="0"/>
        <w:snapToGrid/>
        <w:rPr>
          <w:rFonts w:ascii="Arial" w:hAnsi="Arial" w:cs="Arial"/>
        </w:rPr>
      </w:pPr>
    </w:p>
    <w:p>
      <w:pPr>
        <w:keepNext/>
        <w:keepLines/>
        <w:pageBreakBefore w:val="0"/>
        <w:widowControl/>
        <w:kinsoku/>
        <w:topLinePunct w:val="0"/>
        <w:bidi w:val="0"/>
        <w:snapToGrid/>
        <w:rPr>
          <w:rFonts w:ascii="Arial" w:hAnsi="Arial" w:cs="Arial"/>
        </w:rPr>
      </w:pPr>
    </w:p>
    <w:p>
      <w:pPr>
        <w:pStyle w:val="33"/>
        <w:keepNext/>
        <w:keepLines/>
        <w:pageBreakBefore w:val="0"/>
        <w:widowControl/>
        <w:numPr>
          <w:ilvl w:val="0"/>
          <w:numId w:val="5"/>
        </w:numPr>
        <w:kinsoku/>
        <w:topLinePunct w:val="0"/>
        <w:bidi w:val="0"/>
        <w:snapToGrid/>
        <w:spacing w:after="120" w:afterLines="50"/>
        <w:ind w:leftChars="0"/>
        <w:outlineLvl w:val="0"/>
        <w:rPr>
          <w:rFonts w:ascii="Arial" w:hAnsi="Arial" w:cs="Arial"/>
          <w:b/>
        </w:rPr>
      </w:pPr>
      <w:r>
        <w:rPr>
          <w:rFonts w:ascii="Arial" w:hAnsi="Arial" w:cs="Arial"/>
          <w:b/>
        </w:rPr>
        <w:t>Overall Description:</w:t>
      </w:r>
    </w:p>
    <w:p>
      <w:pPr>
        <w:rPr>
          <w:rFonts w:hint="eastAsia" w:ascii="Arial" w:hAnsi="Arial" w:eastAsia="宋体" w:cs="Arial"/>
          <w:color w:val="000000"/>
          <w:kern w:val="0"/>
          <w:sz w:val="20"/>
          <w:szCs w:val="20"/>
          <w:shd w:val="clear" w:color="auto" w:fill="FFFFFF"/>
          <w:lang w:val="en-US" w:eastAsia="zh-CN" w:bidi="ar"/>
        </w:rPr>
      </w:pPr>
      <w:r>
        <w:rPr>
          <w:rFonts w:hint="eastAsia" w:ascii="Arial" w:hAnsi="Arial" w:eastAsia="宋体" w:cs="Arial"/>
          <w:color w:val="000000"/>
          <w:kern w:val="0"/>
          <w:sz w:val="20"/>
          <w:szCs w:val="20"/>
          <w:shd w:val="clear" w:color="auto" w:fill="FFFFFF"/>
          <w:lang w:val="en-US" w:eastAsia="zh-CN" w:bidi="ar"/>
        </w:rPr>
        <w:t xml:space="preserve">RAN4 has discussed definition of </w:t>
      </w:r>
      <w:r>
        <w:rPr>
          <w:rFonts w:hint="eastAsia" w:ascii="Arial" w:hAnsi="Arial" w:cs="Arial"/>
          <w:color w:val="000000"/>
          <w:kern w:val="0"/>
          <w:sz w:val="20"/>
          <w:szCs w:val="20"/>
          <w:shd w:val="clear" w:color="auto" w:fill="FFFFFF"/>
          <w:lang w:val="en-US" w:eastAsia="zh-CN" w:bidi="ar"/>
        </w:rPr>
        <w:t>NCR</w:t>
      </w:r>
      <w:r>
        <w:rPr>
          <w:rFonts w:hint="eastAsia" w:ascii="Arial" w:hAnsi="Arial" w:eastAsia="宋体" w:cs="Arial"/>
          <w:color w:val="000000"/>
          <w:kern w:val="0"/>
          <w:sz w:val="20"/>
          <w:szCs w:val="20"/>
          <w:shd w:val="clear" w:color="auto" w:fill="FFFFFF"/>
          <w:lang w:val="en-US" w:eastAsia="zh-CN" w:bidi="ar"/>
        </w:rPr>
        <w:t>-MT channel bandwidth and would like to inform RAN2 of their agreement.</w:t>
      </w:r>
    </w:p>
    <w:p>
      <w:pPr>
        <w:rPr>
          <w:rFonts w:hint="eastAsia" w:ascii="Arial" w:hAnsi="Arial" w:eastAsia="宋体" w:cs="Arial"/>
          <w:color w:val="000000"/>
          <w:kern w:val="0"/>
          <w:sz w:val="20"/>
          <w:szCs w:val="20"/>
          <w:shd w:val="clear" w:color="auto" w:fill="FFFFFF"/>
          <w:lang w:val="en-US" w:eastAsia="zh-CN" w:bidi="ar"/>
        </w:rPr>
      </w:pPr>
      <w:r>
        <w:rPr>
          <w:rFonts w:hint="eastAsia" w:ascii="Arial" w:hAnsi="Arial" w:eastAsia="宋体" w:cs="Arial"/>
          <w:color w:val="000000"/>
          <w:kern w:val="0"/>
          <w:sz w:val="20"/>
          <w:szCs w:val="20"/>
          <w:shd w:val="clear" w:color="auto" w:fill="FFFFFF"/>
          <w:lang w:val="en-US" w:eastAsia="zh-CN" w:bidi="ar"/>
        </w:rPr>
        <w:t xml:space="preserve">RAN4 decided that </w:t>
      </w:r>
      <w:r>
        <w:rPr>
          <w:rFonts w:hint="eastAsia" w:ascii="Arial" w:hAnsi="Arial" w:cs="Arial"/>
          <w:color w:val="000000"/>
          <w:kern w:val="0"/>
          <w:sz w:val="20"/>
          <w:szCs w:val="20"/>
          <w:shd w:val="clear" w:color="auto" w:fill="FFFFFF"/>
          <w:lang w:val="en-US" w:eastAsia="zh-CN" w:bidi="ar"/>
        </w:rPr>
        <w:t>NCR</w:t>
      </w:r>
      <w:r>
        <w:rPr>
          <w:rFonts w:hint="eastAsia" w:ascii="Arial" w:hAnsi="Arial" w:eastAsia="宋体" w:cs="Arial"/>
          <w:color w:val="000000"/>
          <w:kern w:val="0"/>
          <w:sz w:val="20"/>
          <w:szCs w:val="20"/>
          <w:shd w:val="clear" w:color="auto" w:fill="FFFFFF"/>
          <w:lang w:val="en-US" w:eastAsia="zh-CN" w:bidi="ar"/>
        </w:rPr>
        <w:t>-MT declares all the supported channel bandwidths rather than having a mandatory set as current UEs</w:t>
      </w:r>
      <w:r>
        <w:rPr>
          <w:rFonts w:hint="eastAsia" w:ascii="Arial" w:hAnsi="Arial" w:cs="Arial"/>
          <w:color w:val="000000"/>
          <w:kern w:val="0"/>
          <w:sz w:val="20"/>
          <w:szCs w:val="20"/>
          <w:shd w:val="clear" w:color="auto" w:fill="FFFFFF"/>
          <w:lang w:val="en-US" w:eastAsia="zh-CN" w:bidi="ar"/>
        </w:rPr>
        <w:t xml:space="preserve"> similar as IAB-MT</w:t>
      </w:r>
      <w:r>
        <w:rPr>
          <w:rFonts w:hint="eastAsia" w:ascii="Arial" w:hAnsi="Arial" w:eastAsia="宋体" w:cs="Arial"/>
          <w:color w:val="000000"/>
          <w:kern w:val="0"/>
          <w:sz w:val="20"/>
          <w:szCs w:val="20"/>
          <w:shd w:val="clear" w:color="auto" w:fill="FFFFFF"/>
          <w:lang w:val="en-US" w:eastAsia="zh-CN" w:bidi="ar"/>
        </w:rPr>
        <w:t xml:space="preserve">. The parent/donor should be aware of the channel bandwidths supported by the </w:t>
      </w:r>
      <w:r>
        <w:rPr>
          <w:rFonts w:hint="eastAsia" w:ascii="Arial" w:hAnsi="Arial" w:cs="Arial"/>
          <w:color w:val="000000"/>
          <w:kern w:val="0"/>
          <w:sz w:val="20"/>
          <w:szCs w:val="20"/>
          <w:shd w:val="clear" w:color="auto" w:fill="FFFFFF"/>
          <w:lang w:val="en-US" w:eastAsia="zh-CN" w:bidi="ar"/>
        </w:rPr>
        <w:t>NCR-</w:t>
      </w:r>
      <w:r>
        <w:rPr>
          <w:rFonts w:hint="eastAsia" w:ascii="Arial" w:hAnsi="Arial" w:eastAsia="宋体" w:cs="Arial"/>
          <w:color w:val="000000"/>
          <w:kern w:val="0"/>
          <w:sz w:val="20"/>
          <w:szCs w:val="20"/>
          <w:shd w:val="clear" w:color="auto" w:fill="FFFFFF"/>
          <w:lang w:val="en-US" w:eastAsia="zh-CN" w:bidi="ar"/>
        </w:rPr>
        <w:t xml:space="preserve">MT. </w:t>
      </w:r>
    </w:p>
    <w:p>
      <w:pPr>
        <w:rPr>
          <w:rFonts w:hint="eastAsia" w:ascii="Arial" w:hAnsi="Arial" w:eastAsia="宋体" w:cs="Arial"/>
          <w:color w:val="000000"/>
          <w:kern w:val="0"/>
          <w:sz w:val="20"/>
          <w:szCs w:val="20"/>
          <w:shd w:val="clear" w:color="auto" w:fill="FFFFFF"/>
          <w:lang w:val="en-US" w:eastAsia="ja-JP" w:bidi="ar"/>
        </w:rPr>
      </w:pPr>
      <w:r>
        <w:rPr>
          <w:rFonts w:hint="eastAsia" w:ascii="Arial" w:hAnsi="Arial" w:eastAsia="宋体" w:cs="Arial"/>
          <w:color w:val="000000"/>
          <w:kern w:val="0"/>
          <w:sz w:val="20"/>
          <w:szCs w:val="20"/>
          <w:shd w:val="clear" w:color="auto" w:fill="FFFFFF"/>
          <w:lang w:val="en-US" w:eastAsia="ja-JP" w:bidi="ar"/>
        </w:rPr>
        <w:t xml:space="preserve">RAN2 needs to evaluate the signalling needed due to this newly introduced behaviour. </w:t>
      </w:r>
    </w:p>
    <w:p>
      <w:pPr>
        <w:pStyle w:val="36"/>
        <w:overflowPunct w:val="0"/>
        <w:autoSpaceDE w:val="0"/>
        <w:autoSpaceDN w:val="0"/>
        <w:adjustRightInd w:val="0"/>
        <w:spacing w:before="120" w:after="120"/>
        <w:textAlignment w:val="baseline"/>
        <w:rPr>
          <w:rFonts w:hint="eastAsia" w:eastAsia="宋体" w:cs="Arial"/>
          <w:i/>
          <w:iCs/>
          <w:sz w:val="20"/>
          <w:szCs w:val="20"/>
          <w:lang w:val="en-US" w:eastAsia="zh-CN"/>
        </w:rPr>
      </w:pPr>
      <w:r>
        <w:rPr>
          <w:rFonts w:hint="eastAsia" w:eastAsia="宋体" w:cs="Arial"/>
          <w:i/>
          <w:iCs/>
          <w:sz w:val="20"/>
          <w:szCs w:val="20"/>
          <w:lang w:val="en-US" w:eastAsia="zh-CN"/>
        </w:rPr>
        <w:t xml:space="preserve"> </w:t>
      </w:r>
    </w:p>
    <w:p>
      <w:pPr>
        <w:pStyle w:val="36"/>
        <w:overflowPunct w:val="0"/>
        <w:autoSpaceDE w:val="0"/>
        <w:autoSpaceDN w:val="0"/>
        <w:adjustRightInd w:val="0"/>
        <w:spacing w:before="120" w:after="120"/>
        <w:textAlignment w:val="baseline"/>
        <w:rPr>
          <w:rFonts w:hint="eastAsia" w:eastAsia="宋体" w:cs="Arial"/>
          <w:i/>
          <w:iCs/>
          <w:sz w:val="21"/>
          <w:szCs w:val="21"/>
          <w:lang w:val="en-US" w:eastAsia="zh-CN"/>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2. Actions:</w:t>
      </w:r>
    </w:p>
    <w:p>
      <w:pPr>
        <w:keepNext/>
        <w:keepLines/>
        <w:pageBreakBefore w:val="0"/>
        <w:widowControl/>
        <w:kinsoku/>
        <w:topLinePunct w:val="0"/>
        <w:bidi w:val="0"/>
        <w:snapToGrid/>
        <w:spacing w:after="120"/>
        <w:ind w:left="1985" w:hanging="1985"/>
        <w:rPr>
          <w:rFonts w:ascii="Arial" w:hAnsi="Arial" w:cs="Arial"/>
          <w:b/>
        </w:rPr>
      </w:pPr>
      <w:r>
        <w:rPr>
          <w:rFonts w:ascii="Arial" w:hAnsi="Arial" w:cs="Arial"/>
          <w:b/>
        </w:rPr>
        <w:t>To RAN2:</w:t>
      </w:r>
    </w:p>
    <w:p>
      <w:pPr>
        <w:keepNext/>
        <w:keepLines/>
        <w:pageBreakBefore w:val="0"/>
        <w:widowControl/>
        <w:kinsoku/>
        <w:topLinePunct w:val="0"/>
        <w:bidi w:val="0"/>
        <w:snapToGrid/>
        <w:spacing w:after="120"/>
        <w:ind w:left="993" w:hanging="993"/>
        <w:rPr>
          <w:rFonts w:ascii="Arial" w:hAnsi="Arial" w:cs="Arial"/>
        </w:rPr>
      </w:pPr>
      <w:r>
        <w:rPr>
          <w:rFonts w:ascii="Arial" w:hAnsi="Arial" w:cs="Arial"/>
          <w:b/>
        </w:rPr>
        <w:t xml:space="preserve">ACTION: </w:t>
      </w:r>
      <w:r>
        <w:rPr>
          <w:rFonts w:ascii="Arial" w:hAnsi="Arial" w:cs="Arial"/>
        </w:rPr>
        <w:t>RAN4 respectfully ask RAN2 to take above RAN4 responses into consideration.</w:t>
      </w:r>
    </w:p>
    <w:p>
      <w:pPr>
        <w:keepNext/>
        <w:keepLines/>
        <w:pageBreakBefore w:val="0"/>
        <w:widowControl/>
        <w:kinsoku/>
        <w:topLinePunct w:val="0"/>
        <w:bidi w:val="0"/>
        <w:snapToGrid/>
        <w:spacing w:after="120"/>
        <w:ind w:left="993" w:hanging="993"/>
        <w:rPr>
          <w:rFonts w:ascii="Arial" w:hAnsi="Arial" w:cs="Arial"/>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3. Date of Next TSG WG RAN4 Meetings:</w:t>
      </w: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r>
        <w:rPr>
          <w:rFonts w:ascii="Arial" w:hAnsi="Arial" w:eastAsia="宋体" w:cs="Arial"/>
          <w:bCs/>
        </w:rPr>
        <w:t>TSG-RAN WG4 Meeting #10</w:t>
      </w:r>
      <w:r>
        <w:rPr>
          <w:rFonts w:hint="eastAsia" w:ascii="Arial" w:hAnsi="Arial" w:eastAsia="宋体" w:cs="Arial"/>
          <w:bCs/>
          <w:lang w:val="en-US" w:eastAsia="zh-CN"/>
        </w:rPr>
        <w:t>7</w:t>
      </w:r>
      <w:r>
        <w:rPr>
          <w:rFonts w:ascii="Arial" w:hAnsi="Arial" w:eastAsia="宋体" w:cs="Arial"/>
          <w:bCs/>
        </w:rPr>
        <w:tab/>
      </w:r>
      <w:r>
        <w:rPr>
          <w:rFonts w:hint="eastAsia" w:ascii="Arial" w:hAnsi="Arial" w:eastAsia="MS Mincho" w:cs="Arial"/>
          <w:bCs/>
          <w:lang w:val="en-US" w:eastAsia="zh-CN" w:bidi="ar"/>
        </w:rPr>
        <w:t xml:space="preserve">22 </w:t>
      </w:r>
      <w:r>
        <w:rPr>
          <w:rFonts w:ascii="Arial" w:hAnsi="Arial" w:eastAsia="MS Mincho" w:cs="Arial"/>
          <w:bCs/>
          <w:lang w:eastAsia="zh-CN" w:bidi="ar"/>
        </w:rPr>
        <w:t>-</w:t>
      </w:r>
      <w:r>
        <w:rPr>
          <w:rFonts w:hint="eastAsia" w:ascii="Arial" w:hAnsi="Arial" w:eastAsia="MS Mincho" w:cs="Arial"/>
          <w:bCs/>
          <w:lang w:val="en-US" w:eastAsia="zh-CN" w:bidi="ar"/>
        </w:rPr>
        <w:t xml:space="preserve"> 26</w:t>
      </w:r>
      <w:r>
        <w:rPr>
          <w:rFonts w:ascii="Arial" w:hAnsi="Arial" w:eastAsia="MS Mincho" w:cs="Arial"/>
          <w:bCs/>
          <w:lang w:eastAsia="zh-CN" w:bidi="ar"/>
        </w:rPr>
        <w:t xml:space="preserve"> </w:t>
      </w:r>
      <w:r>
        <w:rPr>
          <w:rFonts w:hint="eastAsia" w:ascii="Arial" w:hAnsi="Arial" w:eastAsia="MS Mincho" w:cs="Arial"/>
          <w:bCs/>
          <w:lang w:val="en-US" w:eastAsia="zh-CN" w:bidi="ar"/>
        </w:rPr>
        <w:t xml:space="preserve">May </w:t>
      </w:r>
      <w:r>
        <w:rPr>
          <w:rFonts w:ascii="Arial" w:hAnsi="Arial" w:eastAsia="MS Mincho" w:cs="Arial"/>
          <w:bCs/>
          <w:lang w:eastAsia="zh-CN" w:bidi="ar"/>
        </w:rPr>
        <w:t>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w:t>
      </w:r>
      <w:r>
        <w:rPr>
          <w:rFonts w:hint="eastAsia" w:ascii="Arial" w:hAnsi="Arial" w:eastAsia="宋体" w:cs="Arial"/>
          <w:bCs/>
          <w:lang w:val="en-US" w:eastAsia="zh-CN"/>
        </w:rPr>
        <w:t xml:space="preserve">     Incheon, KR</w:t>
      </w:r>
    </w:p>
    <w:p>
      <w:pPr>
        <w:keepNext/>
        <w:keepLines/>
        <w:pageBreakBefore w:val="0"/>
        <w:widowControl/>
        <w:tabs>
          <w:tab w:val="left" w:pos="4685"/>
        </w:tabs>
        <w:kinsoku/>
        <w:topLinePunct w:val="0"/>
        <w:bidi w:val="0"/>
        <w:snapToGrid/>
        <w:spacing w:after="120"/>
        <w:ind w:left="2268" w:hanging="2268"/>
        <w:rPr>
          <w:rFonts w:ascii="Arial" w:hAnsi="Arial" w:cs="Arial"/>
          <w:bCs/>
          <w:color w:val="000000"/>
        </w:rPr>
      </w:pPr>
      <w:r>
        <w:rPr>
          <w:rFonts w:ascii="Arial" w:hAnsi="Arial" w:eastAsia="宋体" w:cs="Arial"/>
          <w:bCs/>
        </w:rPr>
        <w:t>TSG-RAN WG4 Meeting #10</w:t>
      </w:r>
      <w:r>
        <w:rPr>
          <w:rFonts w:hint="eastAsia" w:ascii="Arial" w:hAnsi="Arial" w:cs="Arial"/>
          <w:bCs/>
          <w:lang w:val="en-US" w:eastAsia="zh-CN"/>
        </w:rPr>
        <w:t>8</w:t>
      </w:r>
      <w:r>
        <w:rPr>
          <w:rFonts w:ascii="Arial" w:hAnsi="Arial" w:eastAsia="宋体" w:cs="Arial"/>
          <w:bCs/>
        </w:rPr>
        <w:tab/>
      </w:r>
      <w:r>
        <w:rPr>
          <w:rFonts w:hint="eastAsia" w:ascii="Arial" w:hAnsi="Arial" w:eastAsia="MS Mincho" w:cs="Arial"/>
          <w:bCs/>
          <w:lang w:val="en-US" w:eastAsia="zh-CN" w:bidi="ar"/>
        </w:rPr>
        <w:t xml:space="preserve">21 </w:t>
      </w:r>
      <w:r>
        <w:rPr>
          <w:rFonts w:ascii="Arial" w:hAnsi="Arial" w:eastAsia="MS Mincho" w:cs="Arial"/>
          <w:bCs/>
          <w:lang w:eastAsia="zh-CN" w:bidi="ar"/>
        </w:rPr>
        <w:t>-</w:t>
      </w:r>
      <w:r>
        <w:rPr>
          <w:rFonts w:hint="eastAsia" w:ascii="Arial" w:hAnsi="Arial" w:eastAsia="MS Mincho" w:cs="Arial"/>
          <w:bCs/>
          <w:lang w:val="en-US" w:eastAsia="zh-CN" w:bidi="ar"/>
        </w:rPr>
        <w:t xml:space="preserve"> 25</w:t>
      </w:r>
      <w:r>
        <w:rPr>
          <w:rFonts w:ascii="Arial" w:hAnsi="Arial" w:eastAsia="MS Mincho" w:cs="Arial"/>
          <w:bCs/>
          <w:lang w:eastAsia="zh-CN" w:bidi="ar"/>
        </w:rPr>
        <w:t xml:space="preserve"> </w:t>
      </w:r>
      <w:r>
        <w:rPr>
          <w:rFonts w:hint="eastAsia" w:ascii="Arial" w:hAnsi="Arial" w:eastAsia="MS Mincho" w:cs="Arial"/>
          <w:bCs/>
          <w:lang w:val="en-US" w:eastAsia="zh-CN" w:bidi="ar"/>
        </w:rPr>
        <w:t xml:space="preserve">Aug </w:t>
      </w:r>
      <w:r>
        <w:rPr>
          <w:rFonts w:ascii="Arial" w:hAnsi="Arial" w:eastAsia="MS Mincho" w:cs="Arial"/>
          <w:bCs/>
          <w:lang w:eastAsia="zh-CN" w:bidi="ar"/>
        </w:rPr>
        <w:t>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w:t>
      </w:r>
      <w:r>
        <w:rPr>
          <w:rFonts w:hint="eastAsia" w:ascii="Arial" w:hAnsi="Arial" w:eastAsia="宋体" w:cs="Arial"/>
          <w:bCs/>
          <w:lang w:val="en-US" w:eastAsia="zh-CN"/>
        </w:rPr>
        <w:t xml:space="preserve">     Toulouse , FR</w:t>
      </w: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CE2C5"/>
    <w:multiLevelType w:val="singleLevel"/>
    <w:tmpl w:val="B45CE2C5"/>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3446586"/>
    <w:multiLevelType w:val="multilevel"/>
    <w:tmpl w:val="33446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911E5"/>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2005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616DE"/>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81AE4"/>
    <w:rsid w:val="025D3F73"/>
    <w:rsid w:val="0262197E"/>
    <w:rsid w:val="026A09A5"/>
    <w:rsid w:val="027035EC"/>
    <w:rsid w:val="02800F27"/>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418C1"/>
    <w:rsid w:val="03B92E34"/>
    <w:rsid w:val="03BE4B83"/>
    <w:rsid w:val="03C02839"/>
    <w:rsid w:val="03C0647A"/>
    <w:rsid w:val="03C17A6A"/>
    <w:rsid w:val="03C3309F"/>
    <w:rsid w:val="03C6618A"/>
    <w:rsid w:val="03CD06E1"/>
    <w:rsid w:val="03CD6E1F"/>
    <w:rsid w:val="03CE1E68"/>
    <w:rsid w:val="03D21375"/>
    <w:rsid w:val="03D4427A"/>
    <w:rsid w:val="03D8400E"/>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432F7"/>
    <w:rsid w:val="05280A89"/>
    <w:rsid w:val="05367F8C"/>
    <w:rsid w:val="053E1AC2"/>
    <w:rsid w:val="054270FF"/>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7DEA"/>
    <w:rsid w:val="063B08CD"/>
    <w:rsid w:val="064001EE"/>
    <w:rsid w:val="06474EFD"/>
    <w:rsid w:val="06493A8C"/>
    <w:rsid w:val="064A35EA"/>
    <w:rsid w:val="064B521E"/>
    <w:rsid w:val="064B6CD0"/>
    <w:rsid w:val="064C2727"/>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1696C"/>
    <w:rsid w:val="06D67E14"/>
    <w:rsid w:val="06D77436"/>
    <w:rsid w:val="06F30672"/>
    <w:rsid w:val="06F30BE9"/>
    <w:rsid w:val="06F35A7A"/>
    <w:rsid w:val="06F35AB6"/>
    <w:rsid w:val="06F511C2"/>
    <w:rsid w:val="06F5790E"/>
    <w:rsid w:val="06F66B05"/>
    <w:rsid w:val="06FA3300"/>
    <w:rsid w:val="0708086F"/>
    <w:rsid w:val="070C0BED"/>
    <w:rsid w:val="07114F56"/>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14486"/>
    <w:rsid w:val="09E4648F"/>
    <w:rsid w:val="09EB7AE5"/>
    <w:rsid w:val="09EC6461"/>
    <w:rsid w:val="09F1407D"/>
    <w:rsid w:val="09F21427"/>
    <w:rsid w:val="09F333CA"/>
    <w:rsid w:val="09F839E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A11A0"/>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60F78"/>
    <w:rsid w:val="0AAB401F"/>
    <w:rsid w:val="0AB329A9"/>
    <w:rsid w:val="0AB83457"/>
    <w:rsid w:val="0ABA55D8"/>
    <w:rsid w:val="0AC23AEF"/>
    <w:rsid w:val="0ACD4245"/>
    <w:rsid w:val="0AD57FD6"/>
    <w:rsid w:val="0AD84FAB"/>
    <w:rsid w:val="0ADD7B55"/>
    <w:rsid w:val="0ADF53D8"/>
    <w:rsid w:val="0AF34020"/>
    <w:rsid w:val="0B041C6B"/>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BFF01F4"/>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7E6803"/>
    <w:rsid w:val="0C80308D"/>
    <w:rsid w:val="0C824985"/>
    <w:rsid w:val="0C85742B"/>
    <w:rsid w:val="0C871914"/>
    <w:rsid w:val="0C8726EC"/>
    <w:rsid w:val="0C873353"/>
    <w:rsid w:val="0C885C99"/>
    <w:rsid w:val="0C8970E0"/>
    <w:rsid w:val="0C8B4B61"/>
    <w:rsid w:val="0C9A4387"/>
    <w:rsid w:val="0C9D3F03"/>
    <w:rsid w:val="0CA1546A"/>
    <w:rsid w:val="0CA4660D"/>
    <w:rsid w:val="0CA46672"/>
    <w:rsid w:val="0CA92BAC"/>
    <w:rsid w:val="0CA9385A"/>
    <w:rsid w:val="0CB471A1"/>
    <w:rsid w:val="0CB90F2E"/>
    <w:rsid w:val="0CBB5A0F"/>
    <w:rsid w:val="0CCD3B1C"/>
    <w:rsid w:val="0CD5243A"/>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24790"/>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C11B24"/>
    <w:rsid w:val="0EC34A89"/>
    <w:rsid w:val="0EC468A2"/>
    <w:rsid w:val="0ECA0784"/>
    <w:rsid w:val="0ECC4066"/>
    <w:rsid w:val="0ECE7C5F"/>
    <w:rsid w:val="0ED12B32"/>
    <w:rsid w:val="0EDA48C8"/>
    <w:rsid w:val="0EDC4D55"/>
    <w:rsid w:val="0EDF70E5"/>
    <w:rsid w:val="0EE51CDB"/>
    <w:rsid w:val="0EE71A06"/>
    <w:rsid w:val="0EF75D05"/>
    <w:rsid w:val="0EF9137D"/>
    <w:rsid w:val="0EF957FE"/>
    <w:rsid w:val="0EFE2ACB"/>
    <w:rsid w:val="0F0B6F9B"/>
    <w:rsid w:val="0F0C4A14"/>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95333"/>
    <w:rsid w:val="0FDA2E33"/>
    <w:rsid w:val="0FEC322B"/>
    <w:rsid w:val="0FEC6EF6"/>
    <w:rsid w:val="0FF33CD3"/>
    <w:rsid w:val="10045EE6"/>
    <w:rsid w:val="100C1580"/>
    <w:rsid w:val="100D3B17"/>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7E0C21"/>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EF3489"/>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41C88"/>
    <w:rsid w:val="17056BCC"/>
    <w:rsid w:val="170A2668"/>
    <w:rsid w:val="171053FC"/>
    <w:rsid w:val="1715378E"/>
    <w:rsid w:val="17256955"/>
    <w:rsid w:val="17282A0F"/>
    <w:rsid w:val="172938B2"/>
    <w:rsid w:val="172B6CEB"/>
    <w:rsid w:val="172E6FEA"/>
    <w:rsid w:val="17343071"/>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14D83"/>
    <w:rsid w:val="18420253"/>
    <w:rsid w:val="18434E38"/>
    <w:rsid w:val="18533B98"/>
    <w:rsid w:val="185A62F7"/>
    <w:rsid w:val="185E4F83"/>
    <w:rsid w:val="18632CBD"/>
    <w:rsid w:val="186634FF"/>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C3669"/>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03D89"/>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8620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22BB4"/>
    <w:rsid w:val="1A725418"/>
    <w:rsid w:val="1A796FFC"/>
    <w:rsid w:val="1A7A2EF9"/>
    <w:rsid w:val="1A7B0EEC"/>
    <w:rsid w:val="1A7E1D3B"/>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B4136"/>
    <w:rsid w:val="1AFE2079"/>
    <w:rsid w:val="1B00502A"/>
    <w:rsid w:val="1B034DC2"/>
    <w:rsid w:val="1B08241D"/>
    <w:rsid w:val="1B082CC4"/>
    <w:rsid w:val="1B0B3B20"/>
    <w:rsid w:val="1B135277"/>
    <w:rsid w:val="1B154B77"/>
    <w:rsid w:val="1B1613A0"/>
    <w:rsid w:val="1B2A7E36"/>
    <w:rsid w:val="1B2F42C3"/>
    <w:rsid w:val="1B300C6A"/>
    <w:rsid w:val="1B324397"/>
    <w:rsid w:val="1B372EB9"/>
    <w:rsid w:val="1B39636C"/>
    <w:rsid w:val="1B40005E"/>
    <w:rsid w:val="1B4268B4"/>
    <w:rsid w:val="1B427936"/>
    <w:rsid w:val="1B5D3106"/>
    <w:rsid w:val="1B600FD4"/>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A0D5A"/>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E30977"/>
    <w:rsid w:val="22E47590"/>
    <w:rsid w:val="22E95A8D"/>
    <w:rsid w:val="22ED05AB"/>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76BEF"/>
    <w:rsid w:val="24CD6DBE"/>
    <w:rsid w:val="24CE0857"/>
    <w:rsid w:val="24D20A06"/>
    <w:rsid w:val="24D51CD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D70213"/>
    <w:rsid w:val="25E0605D"/>
    <w:rsid w:val="25E8244D"/>
    <w:rsid w:val="25EB7CD4"/>
    <w:rsid w:val="25F04B7D"/>
    <w:rsid w:val="25F37CD1"/>
    <w:rsid w:val="25F51596"/>
    <w:rsid w:val="25F5209F"/>
    <w:rsid w:val="25F55401"/>
    <w:rsid w:val="25F67042"/>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543FF"/>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95E6C"/>
    <w:rsid w:val="284E5DCD"/>
    <w:rsid w:val="28553E1D"/>
    <w:rsid w:val="28585806"/>
    <w:rsid w:val="286609FD"/>
    <w:rsid w:val="28693318"/>
    <w:rsid w:val="286B3B61"/>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5246"/>
    <w:rsid w:val="2946144E"/>
    <w:rsid w:val="2946760C"/>
    <w:rsid w:val="29494977"/>
    <w:rsid w:val="29496DE2"/>
    <w:rsid w:val="294A5BC8"/>
    <w:rsid w:val="294B5866"/>
    <w:rsid w:val="29504176"/>
    <w:rsid w:val="29634AD4"/>
    <w:rsid w:val="296865F6"/>
    <w:rsid w:val="296B20A7"/>
    <w:rsid w:val="297954BE"/>
    <w:rsid w:val="297D1A8B"/>
    <w:rsid w:val="298725A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92A46"/>
    <w:rsid w:val="2B5B7165"/>
    <w:rsid w:val="2B611B55"/>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7D0845"/>
    <w:rsid w:val="2D8151A4"/>
    <w:rsid w:val="2D8377DD"/>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537AE"/>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60EDC"/>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803D5"/>
    <w:rsid w:val="2F805714"/>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B2613"/>
    <w:rsid w:val="300F7F13"/>
    <w:rsid w:val="30151A88"/>
    <w:rsid w:val="301E260F"/>
    <w:rsid w:val="301E3C00"/>
    <w:rsid w:val="302757BF"/>
    <w:rsid w:val="302E1CAD"/>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E56DC"/>
    <w:rsid w:val="30AE7165"/>
    <w:rsid w:val="30B7307E"/>
    <w:rsid w:val="30B9566B"/>
    <w:rsid w:val="30C21A0E"/>
    <w:rsid w:val="30D16A84"/>
    <w:rsid w:val="30D202C2"/>
    <w:rsid w:val="30D83F23"/>
    <w:rsid w:val="30DC45E8"/>
    <w:rsid w:val="30DD6027"/>
    <w:rsid w:val="30DE16AB"/>
    <w:rsid w:val="30E1221A"/>
    <w:rsid w:val="30E734EF"/>
    <w:rsid w:val="30E749C8"/>
    <w:rsid w:val="30EA4207"/>
    <w:rsid w:val="30F24AB3"/>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06E0"/>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A2F27"/>
    <w:rsid w:val="36265F04"/>
    <w:rsid w:val="36266913"/>
    <w:rsid w:val="36297754"/>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B63F4"/>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472BF"/>
    <w:rsid w:val="38775820"/>
    <w:rsid w:val="387F0A30"/>
    <w:rsid w:val="38876F05"/>
    <w:rsid w:val="38894DA5"/>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4074"/>
    <w:rsid w:val="398465A5"/>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616CAD"/>
    <w:rsid w:val="3A681105"/>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6A2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7002D"/>
    <w:rsid w:val="3D0B7E6F"/>
    <w:rsid w:val="3D0F1231"/>
    <w:rsid w:val="3D106A89"/>
    <w:rsid w:val="3D135B6B"/>
    <w:rsid w:val="3D154680"/>
    <w:rsid w:val="3D184661"/>
    <w:rsid w:val="3D200D7C"/>
    <w:rsid w:val="3D206ECB"/>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4192"/>
    <w:rsid w:val="3F1871AF"/>
    <w:rsid w:val="3F217DDA"/>
    <w:rsid w:val="3F2771DB"/>
    <w:rsid w:val="3F2A3A7B"/>
    <w:rsid w:val="3F2B184D"/>
    <w:rsid w:val="3F2C7646"/>
    <w:rsid w:val="3F421D47"/>
    <w:rsid w:val="3F431A48"/>
    <w:rsid w:val="3F437686"/>
    <w:rsid w:val="3F440DE0"/>
    <w:rsid w:val="3F441B08"/>
    <w:rsid w:val="3F4A4087"/>
    <w:rsid w:val="3F5361F5"/>
    <w:rsid w:val="3F6B3632"/>
    <w:rsid w:val="3F6F3571"/>
    <w:rsid w:val="3F7254BE"/>
    <w:rsid w:val="3F761F16"/>
    <w:rsid w:val="3F776E0A"/>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61934"/>
    <w:rsid w:val="3FFA58A6"/>
    <w:rsid w:val="3FFA5C63"/>
    <w:rsid w:val="400568C2"/>
    <w:rsid w:val="40073561"/>
    <w:rsid w:val="400A1CFC"/>
    <w:rsid w:val="401D6DEE"/>
    <w:rsid w:val="40372C35"/>
    <w:rsid w:val="403870E4"/>
    <w:rsid w:val="403C1E42"/>
    <w:rsid w:val="403D7C5C"/>
    <w:rsid w:val="40400533"/>
    <w:rsid w:val="40454997"/>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328E9"/>
    <w:rsid w:val="4295760D"/>
    <w:rsid w:val="42980437"/>
    <w:rsid w:val="429856B0"/>
    <w:rsid w:val="429A29B1"/>
    <w:rsid w:val="429A4C84"/>
    <w:rsid w:val="429C1606"/>
    <w:rsid w:val="429F3BC9"/>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35C97"/>
    <w:rsid w:val="43664819"/>
    <w:rsid w:val="4367239A"/>
    <w:rsid w:val="436A2192"/>
    <w:rsid w:val="436C40C2"/>
    <w:rsid w:val="43706E6B"/>
    <w:rsid w:val="4385060B"/>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B13412"/>
    <w:rsid w:val="45B315CE"/>
    <w:rsid w:val="45B64B84"/>
    <w:rsid w:val="45BF593A"/>
    <w:rsid w:val="45C41CB5"/>
    <w:rsid w:val="45E37678"/>
    <w:rsid w:val="45E5049F"/>
    <w:rsid w:val="45E526A6"/>
    <w:rsid w:val="45E56E31"/>
    <w:rsid w:val="45E66893"/>
    <w:rsid w:val="45E826B2"/>
    <w:rsid w:val="45F4334C"/>
    <w:rsid w:val="460D3781"/>
    <w:rsid w:val="462563C8"/>
    <w:rsid w:val="462A548D"/>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644CFB"/>
    <w:rsid w:val="47666951"/>
    <w:rsid w:val="47683159"/>
    <w:rsid w:val="476A7D07"/>
    <w:rsid w:val="478756F3"/>
    <w:rsid w:val="478E4501"/>
    <w:rsid w:val="479766B4"/>
    <w:rsid w:val="479A472B"/>
    <w:rsid w:val="479D7800"/>
    <w:rsid w:val="47A240A4"/>
    <w:rsid w:val="47A554A0"/>
    <w:rsid w:val="47A74C9E"/>
    <w:rsid w:val="47AA1593"/>
    <w:rsid w:val="47AB2AB0"/>
    <w:rsid w:val="47B44BED"/>
    <w:rsid w:val="47BC3466"/>
    <w:rsid w:val="47BD6C2D"/>
    <w:rsid w:val="47D535E7"/>
    <w:rsid w:val="47D537DB"/>
    <w:rsid w:val="47D730B6"/>
    <w:rsid w:val="47DD6A91"/>
    <w:rsid w:val="47E22039"/>
    <w:rsid w:val="47E6046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424FA1"/>
    <w:rsid w:val="484647AE"/>
    <w:rsid w:val="484F1901"/>
    <w:rsid w:val="485254AD"/>
    <w:rsid w:val="48594C05"/>
    <w:rsid w:val="485D5413"/>
    <w:rsid w:val="485D58DA"/>
    <w:rsid w:val="4864535D"/>
    <w:rsid w:val="48740F16"/>
    <w:rsid w:val="48747A97"/>
    <w:rsid w:val="487A2A25"/>
    <w:rsid w:val="487C0397"/>
    <w:rsid w:val="48807EF4"/>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E028D9"/>
    <w:rsid w:val="49E46DD1"/>
    <w:rsid w:val="49E73DD3"/>
    <w:rsid w:val="49ED271F"/>
    <w:rsid w:val="49FC2EF1"/>
    <w:rsid w:val="49FD1193"/>
    <w:rsid w:val="4A0573EC"/>
    <w:rsid w:val="4A06116C"/>
    <w:rsid w:val="4A070E8E"/>
    <w:rsid w:val="4A09499E"/>
    <w:rsid w:val="4A12710F"/>
    <w:rsid w:val="4A246E96"/>
    <w:rsid w:val="4A293CE8"/>
    <w:rsid w:val="4A2E7749"/>
    <w:rsid w:val="4A36434E"/>
    <w:rsid w:val="4A381BA6"/>
    <w:rsid w:val="4A3926E2"/>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1172E"/>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241F8"/>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C0CA0"/>
    <w:rsid w:val="517F00BC"/>
    <w:rsid w:val="518448CB"/>
    <w:rsid w:val="5188076F"/>
    <w:rsid w:val="518E3B41"/>
    <w:rsid w:val="5195533B"/>
    <w:rsid w:val="519645E3"/>
    <w:rsid w:val="5199124A"/>
    <w:rsid w:val="519C5619"/>
    <w:rsid w:val="519D2F03"/>
    <w:rsid w:val="51A27384"/>
    <w:rsid w:val="51AD2653"/>
    <w:rsid w:val="51AD6F40"/>
    <w:rsid w:val="51AE38FA"/>
    <w:rsid w:val="51B268B4"/>
    <w:rsid w:val="51BE2EAE"/>
    <w:rsid w:val="51C0716E"/>
    <w:rsid w:val="51C24631"/>
    <w:rsid w:val="51D15C0F"/>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052FA6"/>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902B88"/>
    <w:rsid w:val="56927DA4"/>
    <w:rsid w:val="56A032E3"/>
    <w:rsid w:val="56A04928"/>
    <w:rsid w:val="56A06F87"/>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26C30"/>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002CC"/>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3222B"/>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0DC1"/>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44DC9"/>
    <w:rsid w:val="5F874941"/>
    <w:rsid w:val="5F8806B8"/>
    <w:rsid w:val="5F8C52DB"/>
    <w:rsid w:val="5F922603"/>
    <w:rsid w:val="5F966692"/>
    <w:rsid w:val="5F985546"/>
    <w:rsid w:val="5F99467F"/>
    <w:rsid w:val="5F997F0A"/>
    <w:rsid w:val="5F9B2E38"/>
    <w:rsid w:val="5FA00A10"/>
    <w:rsid w:val="5FA4374A"/>
    <w:rsid w:val="5FA4380A"/>
    <w:rsid w:val="5FAB674F"/>
    <w:rsid w:val="5FB25387"/>
    <w:rsid w:val="5FB620C2"/>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517E9"/>
    <w:rsid w:val="609A2B73"/>
    <w:rsid w:val="609F1E8C"/>
    <w:rsid w:val="60A0440C"/>
    <w:rsid w:val="60A82625"/>
    <w:rsid w:val="60AA25E5"/>
    <w:rsid w:val="60AF2967"/>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871B96"/>
    <w:rsid w:val="6295194F"/>
    <w:rsid w:val="6299295E"/>
    <w:rsid w:val="629A07BC"/>
    <w:rsid w:val="629A3547"/>
    <w:rsid w:val="629D1DB7"/>
    <w:rsid w:val="62A33CA7"/>
    <w:rsid w:val="62B13A0B"/>
    <w:rsid w:val="62B94634"/>
    <w:rsid w:val="62BA3B2B"/>
    <w:rsid w:val="62C37511"/>
    <w:rsid w:val="62D11C3F"/>
    <w:rsid w:val="62D67D61"/>
    <w:rsid w:val="62DA3A0F"/>
    <w:rsid w:val="62DE58E3"/>
    <w:rsid w:val="62E157FC"/>
    <w:rsid w:val="62E81148"/>
    <w:rsid w:val="62E83A0D"/>
    <w:rsid w:val="62F76986"/>
    <w:rsid w:val="62FA3D7F"/>
    <w:rsid w:val="62FE22D6"/>
    <w:rsid w:val="63045863"/>
    <w:rsid w:val="63070D6A"/>
    <w:rsid w:val="63074CE8"/>
    <w:rsid w:val="63084655"/>
    <w:rsid w:val="631360BB"/>
    <w:rsid w:val="631C3A36"/>
    <w:rsid w:val="63212420"/>
    <w:rsid w:val="632736C9"/>
    <w:rsid w:val="632936A9"/>
    <w:rsid w:val="632B5DDD"/>
    <w:rsid w:val="632F06D8"/>
    <w:rsid w:val="63302275"/>
    <w:rsid w:val="63311536"/>
    <w:rsid w:val="63317698"/>
    <w:rsid w:val="63340EAE"/>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B6911"/>
    <w:rsid w:val="640C2BB6"/>
    <w:rsid w:val="6411454E"/>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26C19"/>
    <w:rsid w:val="64F928BA"/>
    <w:rsid w:val="64FB357B"/>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817FC"/>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37134"/>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A74B2"/>
    <w:rsid w:val="6A3D030C"/>
    <w:rsid w:val="6A3F4FDB"/>
    <w:rsid w:val="6A4D34F8"/>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8F21CE"/>
    <w:rsid w:val="6B95396B"/>
    <w:rsid w:val="6BA11DFD"/>
    <w:rsid w:val="6BAC0EF7"/>
    <w:rsid w:val="6BBB00B1"/>
    <w:rsid w:val="6BBD3E9D"/>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0F4B37"/>
    <w:rsid w:val="6C155F31"/>
    <w:rsid w:val="6C206E21"/>
    <w:rsid w:val="6C263A06"/>
    <w:rsid w:val="6C2B7E54"/>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27318"/>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8724A"/>
    <w:rsid w:val="6F14289F"/>
    <w:rsid w:val="6F162C84"/>
    <w:rsid w:val="6F1864F4"/>
    <w:rsid w:val="6F1A5125"/>
    <w:rsid w:val="6F28474F"/>
    <w:rsid w:val="6F285C47"/>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75406"/>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9D6915"/>
    <w:rsid w:val="71A11033"/>
    <w:rsid w:val="71A27FBB"/>
    <w:rsid w:val="71A535F8"/>
    <w:rsid w:val="71AE2BD5"/>
    <w:rsid w:val="71AF2F66"/>
    <w:rsid w:val="71B20EA0"/>
    <w:rsid w:val="71B31BCF"/>
    <w:rsid w:val="71BA098B"/>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7DFE"/>
    <w:rsid w:val="722F4695"/>
    <w:rsid w:val="72331F69"/>
    <w:rsid w:val="723749D7"/>
    <w:rsid w:val="723E3995"/>
    <w:rsid w:val="724154F6"/>
    <w:rsid w:val="72445BD3"/>
    <w:rsid w:val="724A0284"/>
    <w:rsid w:val="724E54F1"/>
    <w:rsid w:val="725024AA"/>
    <w:rsid w:val="725226C3"/>
    <w:rsid w:val="7254202A"/>
    <w:rsid w:val="7255786B"/>
    <w:rsid w:val="725E504A"/>
    <w:rsid w:val="72632A3F"/>
    <w:rsid w:val="726754BF"/>
    <w:rsid w:val="7269062D"/>
    <w:rsid w:val="726954F2"/>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94CC6"/>
    <w:rsid w:val="74CD76A4"/>
    <w:rsid w:val="74D575AA"/>
    <w:rsid w:val="74D646E5"/>
    <w:rsid w:val="74D71DDE"/>
    <w:rsid w:val="74DA7956"/>
    <w:rsid w:val="74E11F86"/>
    <w:rsid w:val="74E3508B"/>
    <w:rsid w:val="74E751EA"/>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62286C"/>
    <w:rsid w:val="75625A16"/>
    <w:rsid w:val="7564200E"/>
    <w:rsid w:val="75663FD1"/>
    <w:rsid w:val="756B2F75"/>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D577B"/>
    <w:rsid w:val="764F7670"/>
    <w:rsid w:val="76526C65"/>
    <w:rsid w:val="76587361"/>
    <w:rsid w:val="765F0FBA"/>
    <w:rsid w:val="766314AA"/>
    <w:rsid w:val="76674D6A"/>
    <w:rsid w:val="76690632"/>
    <w:rsid w:val="7670223C"/>
    <w:rsid w:val="76730012"/>
    <w:rsid w:val="767469E2"/>
    <w:rsid w:val="76775F0B"/>
    <w:rsid w:val="767E2DAC"/>
    <w:rsid w:val="76894819"/>
    <w:rsid w:val="768C2151"/>
    <w:rsid w:val="768D57E3"/>
    <w:rsid w:val="76932317"/>
    <w:rsid w:val="76932747"/>
    <w:rsid w:val="76A53B61"/>
    <w:rsid w:val="76A56898"/>
    <w:rsid w:val="76B153BA"/>
    <w:rsid w:val="76B36DB3"/>
    <w:rsid w:val="76B60776"/>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AA7546"/>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F09FE"/>
    <w:rsid w:val="7A262C2D"/>
    <w:rsid w:val="7A291938"/>
    <w:rsid w:val="7A3D7CC0"/>
    <w:rsid w:val="7A4006D3"/>
    <w:rsid w:val="7A400DB9"/>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B3FD4"/>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F84A31"/>
    <w:rsid w:val="7CF9049C"/>
    <w:rsid w:val="7CFC44C2"/>
    <w:rsid w:val="7CFE3BF1"/>
    <w:rsid w:val="7D013B39"/>
    <w:rsid w:val="7D022D4A"/>
    <w:rsid w:val="7D060FAD"/>
    <w:rsid w:val="7D064FA8"/>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4</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2023-04-10T14:05:08Z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